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E738A" w:rsidRPr="00257E49" w:rsidTr="0032422C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921C249" wp14:editId="4F2758F7">
                  <wp:extent cx="742950" cy="74295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8CCB88" wp14:editId="3B68E50B">
                  <wp:extent cx="755092" cy="7416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738A" w:rsidRPr="00257E49" w:rsidTr="0032422C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E738A" w:rsidRPr="00257E49" w:rsidTr="0032422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 xml:space="preserve">III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E738A" w:rsidRPr="00257E49" w:rsidTr="0032422C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7E738A" w:rsidRPr="00A2146E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ЕНЕРГЕТСКА ЕЛЕКТРОНИКА </w:t>
            </w:r>
            <w:r w:rsidRPr="00A2146E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</w:tr>
      <w:tr w:rsidR="007E738A" w:rsidRPr="00257E49" w:rsidTr="0032422C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електронику и електронске системе-Електротехнички факултет</w:t>
            </w:r>
          </w:p>
        </w:tc>
      </w:tr>
      <w:tr w:rsidR="007E738A" w:rsidRPr="00257E49" w:rsidTr="0032422C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E738A" w:rsidRPr="00257E49" w:rsidTr="0032422C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E738A" w:rsidRPr="00257E49" w:rsidTr="0032422C">
        <w:tc>
          <w:tcPr>
            <w:tcW w:w="2943" w:type="dxa"/>
            <w:gridSpan w:val="6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ЕЕ-08-2-0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90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V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7E738A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 xml:space="preserve">проф. др Миломир Шоја,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редовни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 професор</w:t>
            </w:r>
          </w:p>
        </w:tc>
      </w:tr>
      <w:tr w:rsidR="007E738A" w:rsidRPr="00257E49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95CC6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Икић, доцент</w:t>
            </w:r>
          </w:p>
        </w:tc>
      </w:tr>
      <w:tr w:rsidR="007E738A" w:rsidRPr="00257E49" w:rsidTr="0032422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E738A" w:rsidRPr="00257E49" w:rsidTr="0032422C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E738A" w:rsidRPr="00257E49" w:rsidTr="0032422C">
        <w:tc>
          <w:tcPr>
            <w:tcW w:w="1242" w:type="dxa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</w:tr>
      <w:tr w:rsidR="007E738A" w:rsidRPr="00257E49" w:rsidTr="0032422C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наставно оптерећење (у сатима, семестрално)</w:t>
            </w:r>
          </w:p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студентско оптерећење (у сатима, семестрално)</w:t>
            </w:r>
          </w:p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84</w:t>
            </w:r>
          </w:p>
        </w:tc>
      </w:tr>
      <w:tr w:rsidR="007E738A" w:rsidRPr="00257E49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1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44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E738A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Разумије специфичности појединих примјена претварача енергетске електронике, укључујући важеће стандарде и прописе,</w:t>
            </w:r>
          </w:p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Детаљно познаје функционалне и техничке карактеристике претварача енергетске електронике,</w:t>
            </w:r>
          </w:p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Одабере оптималан претварач за конкретну примјену,</w:t>
            </w:r>
          </w:p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Пусти у погон конкретни претварач и подеси његове параметре.</w:t>
            </w:r>
          </w:p>
        </w:tc>
      </w:tr>
      <w:tr w:rsidR="007E738A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 похађање наставе потребна су предзнања из енергетске електронике (предмет: Енергетска електроника 1), док је за полагање испита неопходно освојити 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≥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бодова из св</w:t>
            </w:r>
            <w:r w:rsidRPr="00257E49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7E738A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лабораторијске вјежбе</w:t>
            </w:r>
          </w:p>
        </w:tc>
      </w:tr>
      <w:tr w:rsidR="007E738A" w:rsidRPr="00257E49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7E738A" w:rsidRPr="00257E49" w:rsidRDefault="007E738A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</w:rPr>
              <w:t>1.</w:t>
            </w:r>
            <w:r w:rsidRPr="00257E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 студената и оцјењивање.</w:t>
            </w:r>
            <w:r w:rsidRPr="00257E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Примјена уређаја енерегетске електронике. Стандарди.</w:t>
            </w:r>
          </w:p>
          <w:p w:rsidR="007E738A" w:rsidRPr="00257E49" w:rsidRDefault="007E738A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Полупроводнички прекидачи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2.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АС, DC прекидачи. Солид-стејт релеји. Хибридни прекидачи.</w:t>
            </w:r>
          </w:p>
          <w:p w:rsidR="007E738A" w:rsidRPr="00257E49" w:rsidRDefault="007E738A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 прекидачи/подешавачи напона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3.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Статичке преклопке. Статички VAR компензатори.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4.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Тиристорки упуштачи АС мотора.</w:t>
            </w:r>
          </w:p>
          <w:p w:rsidR="007E738A" w:rsidRPr="00257E49" w:rsidRDefault="007E738A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АС/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(исправљачи)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5.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Пуњачи акумулаторских батерија.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6.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Управљање DC моторима. 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7.1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Вишеквадрантни исправљачи, </w:t>
            </w:r>
            <w:r w:rsidRPr="00257E49">
              <w:rPr>
                <w:rFonts w:ascii="Arial Narrow" w:hAnsi="Arial Narrow" w:cs="Times New Roman"/>
                <w:sz w:val="20"/>
                <w:szCs w:val="20"/>
              </w:rPr>
              <w:t>HVDC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7.2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Генерисање виших хармоника у исправљачима. Идеални исправљач.</w:t>
            </w:r>
          </w:p>
          <w:p w:rsidR="007E738A" w:rsidRPr="00257E49" w:rsidRDefault="007E738A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(чопери)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8.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Напојне јединице.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9.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Вишеквадрантни чопери. Управљање DC моторима.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10.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Топологије и карактеристике чопера у системима са обновљивим изворима енергије.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11.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Системи једносмјерног беспрекидног напајања.</w:t>
            </w:r>
          </w:p>
          <w:p w:rsidR="007E738A" w:rsidRPr="00257E49" w:rsidRDefault="007E738A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/А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(инвертори)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12.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Системи наизмјеничног беспрекидног напајања.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13.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Управљање АС моторима.</w:t>
            </w:r>
          </w:p>
          <w:p w:rsidR="007E738A" w:rsidRPr="00257E49" w:rsidRDefault="007E738A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14.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Топологије и карактеристике инвертора у системима са обновљивим изворима енергије.</w:t>
            </w:r>
          </w:p>
          <w:p w:rsidR="007E738A" w:rsidRPr="00257E49" w:rsidRDefault="007E738A" w:rsidP="0032422C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 xml:space="preserve">Модул – 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Специјализовани системи напајања</w:t>
            </w:r>
          </w:p>
          <w:p w:rsidR="007E738A" w:rsidRPr="00257E49" w:rsidRDefault="007E738A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15.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Електрични аутомобили. Системи напајања у ваздухопловству. Системи напајања у медицини.</w:t>
            </w:r>
          </w:p>
        </w:tc>
      </w:tr>
      <w:tr w:rsidR="007E738A" w:rsidRPr="00257E49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E738A" w:rsidRPr="00257E49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E738A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Mohan, N.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i/>
                <w:sz w:val="20"/>
                <w:szCs w:val="20"/>
              </w:rPr>
              <w:t>POWER ELECTRONICS, Converters, Applications, and Design</w:t>
            </w:r>
            <w:r w:rsidRPr="00257E49">
              <w:rPr>
                <w:rFonts w:ascii="Arial Narrow" w:hAnsi="Arial Narrow"/>
                <w:sz w:val="20"/>
                <w:szCs w:val="20"/>
              </w:rPr>
              <w:t>, John Wiley &amp;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</w:rPr>
              <w:t>Sons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,Inc,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E738A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Икић,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E738A" w:rsidRPr="00257E49" w:rsidRDefault="007E738A" w:rsidP="0032422C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57E49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Практикум </w:t>
            </w:r>
            <w:r w:rsidRPr="00B95CC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из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лабораторијских вјежби из Ее2 (у електронској форми)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E738A" w:rsidRPr="00257E49" w:rsidTr="0032422C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E738A" w:rsidRPr="00257E49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E738A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Skvarenina, T.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i/>
                <w:sz w:val="20"/>
                <w:szCs w:val="20"/>
              </w:rPr>
              <w:t>The Power Electronics Handbook</w:t>
            </w:r>
            <w:r w:rsidRPr="00257E49">
              <w:rPr>
                <w:rFonts w:ascii="Arial Narrow" w:hAnsi="Arial Narrow"/>
                <w:sz w:val="20"/>
                <w:szCs w:val="20"/>
              </w:rPr>
              <w:t>, CRC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E738A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highlight w:val="yellow"/>
                <w:lang w:val="sr-Cyrl-CS"/>
              </w:rPr>
            </w:pPr>
            <w:r w:rsidRPr="00257E49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E738A" w:rsidRPr="00257E49" w:rsidRDefault="007E738A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Cs/>
                <w:i/>
                <w:iCs/>
                <w:sz w:val="20"/>
                <w:szCs w:val="20"/>
                <w:lang w:val="sr-Cyrl-CS"/>
              </w:rPr>
              <w:t>Интернет странице произвођача уређаја Ее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текућа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E738A" w:rsidRPr="00257E49" w:rsidTr="0032422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E738A" w:rsidRPr="00257E49" w:rsidRDefault="007E738A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5 %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E738A" w:rsidRPr="00257E49" w:rsidRDefault="007E738A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лаб. вјежбе</w:t>
            </w:r>
            <w:r w:rsidRPr="00257E49">
              <w:rPr>
                <w:rFonts w:ascii="Arial Narrow" w:hAnsi="Arial Narrow"/>
                <w:sz w:val="20"/>
                <w:szCs w:val="20"/>
              </w:rPr>
              <w:t>/практичан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15 %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E738A" w:rsidRPr="00257E49" w:rsidRDefault="007E738A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25 % +25 %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E738A" w:rsidRPr="00257E49" w:rsidRDefault="007E738A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завршни испит </w:t>
            </w:r>
            <w:r w:rsidRPr="00257E49">
              <w:rPr>
                <w:rFonts w:ascii="Arial Narrow" w:hAnsi="Arial Narrow"/>
                <w:sz w:val="20"/>
                <w:szCs w:val="20"/>
              </w:rPr>
              <w:t>(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30 %</w:t>
            </w:r>
          </w:p>
        </w:tc>
      </w:tr>
      <w:tr w:rsidR="007E738A" w:rsidRPr="00257E49" w:rsidTr="0032422C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7E738A" w:rsidRPr="00257E49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7E738A" w:rsidRPr="00257E49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E738A" w:rsidRPr="00257E49" w:rsidRDefault="007E738A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E738A" w:rsidRPr="00257E49" w:rsidRDefault="00B95CC6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06" w:rsidRDefault="00EB4A06" w:rsidP="007E738A">
      <w:r>
        <w:separator/>
      </w:r>
    </w:p>
  </w:endnote>
  <w:endnote w:type="continuationSeparator" w:id="0">
    <w:p w:rsidR="00EB4A06" w:rsidRDefault="00EB4A06" w:rsidP="007E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06" w:rsidRDefault="00EB4A06" w:rsidP="007E738A">
      <w:r>
        <w:separator/>
      </w:r>
    </w:p>
  </w:footnote>
  <w:footnote w:type="continuationSeparator" w:id="0">
    <w:p w:rsidR="00EB4A06" w:rsidRDefault="00EB4A06" w:rsidP="007E738A">
      <w:r>
        <w:continuationSeparator/>
      </w:r>
    </w:p>
  </w:footnote>
  <w:footnote w:id="1">
    <w:p w:rsidR="007E738A" w:rsidRPr="00ED59F8" w:rsidRDefault="007E738A" w:rsidP="007E738A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 xml:space="preserve">се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E738A" w:rsidRPr="00BB3616" w:rsidRDefault="007E738A" w:rsidP="007E738A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E738A" w:rsidRPr="00564658" w:rsidRDefault="007E738A" w:rsidP="007E738A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8A"/>
    <w:rsid w:val="002A175B"/>
    <w:rsid w:val="007E738A"/>
    <w:rsid w:val="00B95CC6"/>
    <w:rsid w:val="00EB4A06"/>
    <w:rsid w:val="00F3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1BF06-0878-4147-8228-53396FE3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738A"/>
    <w:pPr>
      <w:spacing w:after="0" w:line="240" w:lineRule="auto"/>
    </w:pPr>
  </w:style>
  <w:style w:type="table" w:styleId="TableGrid">
    <w:name w:val="Table Grid"/>
    <w:basedOn w:val="TableNormal"/>
    <w:uiPriority w:val="59"/>
    <w:rsid w:val="007E738A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E738A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E738A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2025-03-08T19:15:00Z</dcterms:created>
  <dcterms:modified xsi:type="dcterms:W3CDTF">2025-05-16T08:39:00Z</dcterms:modified>
</cp:coreProperties>
</file>